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0E084" w14:textId="77777777" w:rsidR="00924966" w:rsidRPr="005635B8" w:rsidRDefault="00924966" w:rsidP="005635B8">
      <w:pPr>
        <w:ind w:left="2640" w:right="-120" w:hanging="2640"/>
        <w:jc w:val="center"/>
        <w:rPr>
          <w:b/>
          <w:sz w:val="22"/>
          <w:szCs w:val="22"/>
        </w:rPr>
      </w:pPr>
      <w:r w:rsidRPr="005635B8">
        <w:rPr>
          <w:b/>
          <w:sz w:val="22"/>
          <w:szCs w:val="22"/>
        </w:rPr>
        <w:t xml:space="preserve">For Additional Information, </w:t>
      </w:r>
      <w:r>
        <w:rPr>
          <w:b/>
          <w:sz w:val="22"/>
          <w:szCs w:val="22"/>
        </w:rPr>
        <w:t>R</w:t>
      </w:r>
      <w:r w:rsidRPr="005635B8">
        <w:rPr>
          <w:b/>
          <w:sz w:val="22"/>
          <w:szCs w:val="22"/>
        </w:rPr>
        <w:t>efer to:</w:t>
      </w:r>
    </w:p>
    <w:p w14:paraId="6501EA56" w14:textId="21688BA1" w:rsidR="00607728" w:rsidRPr="00DB5469" w:rsidRDefault="00DB5469" w:rsidP="005635B8">
      <w:pPr>
        <w:ind w:left="2640" w:right="-120" w:hanging="2640"/>
        <w:jc w:val="center"/>
        <w:rPr>
          <w:rStyle w:val="Hyperlink"/>
          <w:b/>
          <w:sz w:val="22"/>
          <w:szCs w:val="22"/>
        </w:rPr>
      </w:pPr>
      <w:r>
        <w:rPr>
          <w:b/>
        </w:rPr>
        <w:fldChar w:fldCharType="begin"/>
      </w:r>
      <w:r>
        <w:rPr>
          <w:b/>
        </w:rPr>
        <w:instrText xml:space="preserve"> HYPERLINK "https://directives.nnsa.doe.gov/supplemental-directive/sd-0251-0001-b" </w:instrText>
      </w:r>
      <w:r>
        <w:rPr>
          <w:b/>
        </w:rPr>
      </w:r>
      <w:r>
        <w:rPr>
          <w:b/>
        </w:rPr>
        <w:fldChar w:fldCharType="separate"/>
      </w:r>
      <w:r w:rsidR="00924966" w:rsidRPr="00DB5469">
        <w:rPr>
          <w:rStyle w:val="Hyperlink"/>
          <w:b/>
        </w:rPr>
        <w:t>S</w:t>
      </w:r>
      <w:r w:rsidR="00924966" w:rsidRPr="00DB5469">
        <w:rPr>
          <w:rStyle w:val="Hyperlink"/>
          <w:b/>
          <w:sz w:val="22"/>
          <w:szCs w:val="22"/>
        </w:rPr>
        <w:t>D 251.1</w:t>
      </w:r>
      <w:r w:rsidR="00800F09" w:rsidRPr="00DB5469">
        <w:rPr>
          <w:rStyle w:val="Hyperlink"/>
          <w:b/>
          <w:sz w:val="22"/>
          <w:szCs w:val="22"/>
        </w:rPr>
        <w:t>B</w:t>
      </w:r>
      <w:r w:rsidR="00924966" w:rsidRPr="00DB5469">
        <w:rPr>
          <w:rStyle w:val="Hyperlink"/>
          <w:b/>
          <w:sz w:val="22"/>
          <w:szCs w:val="22"/>
        </w:rPr>
        <w:t xml:space="preserve">, </w:t>
      </w:r>
      <w:r w:rsidR="00924966" w:rsidRPr="00DB5469">
        <w:rPr>
          <w:rStyle w:val="Hyperlink"/>
          <w:b/>
          <w:i/>
          <w:sz w:val="22"/>
          <w:szCs w:val="22"/>
        </w:rPr>
        <w:t>Directives Management</w:t>
      </w:r>
      <w:r w:rsidR="00924966" w:rsidRPr="00DB5469">
        <w:rPr>
          <w:rStyle w:val="Hyperlink"/>
          <w:b/>
          <w:sz w:val="22"/>
          <w:szCs w:val="22"/>
        </w:rPr>
        <w:t>, Attachment 3, Equivalencies and Exemptions</w:t>
      </w:r>
    </w:p>
    <w:p w14:paraId="1587E2E6" w14:textId="17ED08F0" w:rsidR="0046020B" w:rsidRPr="005635B8" w:rsidRDefault="00DB5469" w:rsidP="005635B8">
      <w:pPr>
        <w:ind w:left="2640" w:right="-120" w:hanging="2640"/>
        <w:jc w:val="center"/>
        <w:rPr>
          <w:b/>
          <w:sz w:val="22"/>
          <w:szCs w:val="22"/>
        </w:rPr>
      </w:pPr>
      <w:r>
        <w:rPr>
          <w:b/>
        </w:rPr>
        <w:fldChar w:fldCharType="end"/>
      </w:r>
    </w:p>
    <w:p w14:paraId="19185C7C" w14:textId="77777777" w:rsidR="00924966" w:rsidRPr="005635B8" w:rsidRDefault="00924966" w:rsidP="00A45689">
      <w:pPr>
        <w:ind w:left="2640" w:right="-120" w:hanging="2640"/>
        <w:rPr>
          <w:sz w:val="22"/>
          <w:szCs w:val="22"/>
        </w:rPr>
      </w:pPr>
    </w:p>
    <w:p w14:paraId="56A0CD19" w14:textId="77777777" w:rsidR="00B96B28" w:rsidRPr="005635B8" w:rsidRDefault="00EC2D96" w:rsidP="00A45689">
      <w:pPr>
        <w:ind w:left="2640" w:right="-120" w:hanging="2640"/>
        <w:rPr>
          <w:color w:val="0070C0"/>
          <w:sz w:val="22"/>
          <w:szCs w:val="22"/>
        </w:rPr>
      </w:pPr>
      <w:r w:rsidRPr="005635B8">
        <w:rPr>
          <w:sz w:val="22"/>
          <w:szCs w:val="22"/>
        </w:rPr>
        <w:t>MEMORANDUM FOR:</w:t>
      </w:r>
      <w:r w:rsidRPr="005635B8">
        <w:rPr>
          <w:sz w:val="22"/>
          <w:szCs w:val="22"/>
        </w:rPr>
        <w:tab/>
      </w:r>
      <w:r w:rsidR="008914E0" w:rsidRPr="005635B8">
        <w:rPr>
          <w:color w:val="0070C0"/>
          <w:sz w:val="22"/>
          <w:szCs w:val="22"/>
        </w:rPr>
        <w:t xml:space="preserve">[TITLE] </w:t>
      </w:r>
    </w:p>
    <w:p w14:paraId="71E91FEE" w14:textId="6D662F12" w:rsidR="00EC2D96" w:rsidRPr="004C6F87" w:rsidRDefault="008914E0" w:rsidP="00A45689">
      <w:pPr>
        <w:ind w:left="2640" w:right="-120"/>
        <w:rPr>
          <w:sz w:val="22"/>
          <w:szCs w:val="22"/>
        </w:rPr>
      </w:pPr>
      <w:r w:rsidRPr="005635B8">
        <w:rPr>
          <w:color w:val="0070C0"/>
          <w:sz w:val="22"/>
          <w:szCs w:val="22"/>
        </w:rPr>
        <w:t>(</w:t>
      </w:r>
      <w:r w:rsidR="0046020B" w:rsidRPr="00924966">
        <w:rPr>
          <w:i/>
          <w:color w:val="0070C0"/>
          <w:sz w:val="22"/>
          <w:szCs w:val="22"/>
        </w:rPr>
        <w:t>Recipient</w:t>
      </w:r>
      <w:r w:rsidRPr="005635B8">
        <w:rPr>
          <w:i/>
          <w:color w:val="0070C0"/>
          <w:sz w:val="22"/>
          <w:szCs w:val="22"/>
        </w:rPr>
        <w:t xml:space="preserve"> depends on requirements </w:t>
      </w:r>
      <w:r w:rsidR="003F28BF">
        <w:rPr>
          <w:i/>
          <w:color w:val="0070C0"/>
          <w:sz w:val="22"/>
          <w:szCs w:val="22"/>
        </w:rPr>
        <w:t xml:space="preserve">explained </w:t>
      </w:r>
      <w:r w:rsidRPr="005635B8">
        <w:rPr>
          <w:i/>
          <w:color w:val="0070C0"/>
          <w:sz w:val="22"/>
          <w:szCs w:val="22"/>
        </w:rPr>
        <w:t>in SD 251.1</w:t>
      </w:r>
      <w:r w:rsidR="00800F09">
        <w:rPr>
          <w:i/>
          <w:color w:val="0070C0"/>
          <w:sz w:val="22"/>
          <w:szCs w:val="22"/>
        </w:rPr>
        <w:t>B</w:t>
      </w:r>
      <w:r w:rsidR="00B96B28" w:rsidRPr="005635B8">
        <w:rPr>
          <w:i/>
          <w:color w:val="0070C0"/>
          <w:sz w:val="22"/>
          <w:szCs w:val="22"/>
        </w:rPr>
        <w:t>,</w:t>
      </w:r>
      <w:r w:rsidRPr="005635B8">
        <w:rPr>
          <w:i/>
          <w:color w:val="0070C0"/>
          <w:sz w:val="22"/>
          <w:szCs w:val="22"/>
        </w:rPr>
        <w:t xml:space="preserve"> </w:t>
      </w:r>
      <w:r w:rsidR="001D4A99" w:rsidRPr="005635B8">
        <w:rPr>
          <w:i/>
          <w:color w:val="0070C0"/>
          <w:sz w:val="22"/>
          <w:szCs w:val="22"/>
        </w:rPr>
        <w:t>A</w:t>
      </w:r>
      <w:r w:rsidRPr="005635B8">
        <w:rPr>
          <w:i/>
          <w:color w:val="0070C0"/>
          <w:sz w:val="22"/>
          <w:szCs w:val="22"/>
        </w:rPr>
        <w:t>ttachment 3</w:t>
      </w:r>
      <w:r w:rsidRPr="004C6F87">
        <w:rPr>
          <w:color w:val="0070C0"/>
          <w:sz w:val="22"/>
          <w:szCs w:val="22"/>
        </w:rPr>
        <w:t>)</w:t>
      </w:r>
    </w:p>
    <w:p w14:paraId="177AE43A" w14:textId="77777777" w:rsidR="00B63AB4" w:rsidRPr="004C6F87" w:rsidRDefault="00B63AB4" w:rsidP="00D35256">
      <w:pPr>
        <w:ind w:left="2640" w:right="-120" w:hanging="2640"/>
        <w:rPr>
          <w:sz w:val="22"/>
          <w:szCs w:val="22"/>
        </w:rPr>
      </w:pPr>
    </w:p>
    <w:p w14:paraId="609234CC" w14:textId="77777777" w:rsidR="00CA6AF9" w:rsidRPr="004C6F87" w:rsidRDefault="00EC2D96" w:rsidP="00D35256">
      <w:pPr>
        <w:tabs>
          <w:tab w:val="left" w:pos="2610"/>
        </w:tabs>
        <w:rPr>
          <w:color w:val="0070C0"/>
          <w:sz w:val="22"/>
          <w:szCs w:val="22"/>
        </w:rPr>
      </w:pPr>
      <w:r w:rsidRPr="004C6F87">
        <w:rPr>
          <w:sz w:val="22"/>
          <w:szCs w:val="22"/>
        </w:rPr>
        <w:t>FROM:</w:t>
      </w:r>
      <w:r w:rsidR="00A02FB2" w:rsidRPr="004C6F87">
        <w:rPr>
          <w:sz w:val="22"/>
          <w:szCs w:val="22"/>
        </w:rPr>
        <w:tab/>
      </w:r>
      <w:r w:rsidR="00CA6AF9" w:rsidRPr="004C6F87">
        <w:rPr>
          <w:color w:val="0070C0"/>
          <w:sz w:val="22"/>
          <w:szCs w:val="22"/>
        </w:rPr>
        <w:t>[NAME]</w:t>
      </w:r>
    </w:p>
    <w:p w14:paraId="64006AFF" w14:textId="3042C467" w:rsidR="00930B9F" w:rsidRPr="004C6F87" w:rsidRDefault="00CA6AF9" w:rsidP="00D35256">
      <w:pPr>
        <w:tabs>
          <w:tab w:val="left" w:pos="2610"/>
        </w:tabs>
        <w:rPr>
          <w:color w:val="0070C0"/>
          <w:sz w:val="22"/>
          <w:szCs w:val="22"/>
        </w:rPr>
      </w:pPr>
      <w:r w:rsidRPr="004C6F87">
        <w:rPr>
          <w:color w:val="0070C0"/>
          <w:sz w:val="22"/>
          <w:szCs w:val="22"/>
        </w:rPr>
        <w:tab/>
        <w:t>[</w:t>
      </w:r>
      <w:proofErr w:type="gramStart"/>
      <w:r w:rsidRPr="004C6F87">
        <w:rPr>
          <w:color w:val="0070C0"/>
          <w:sz w:val="22"/>
          <w:szCs w:val="22"/>
        </w:rPr>
        <w:t>TITLE]  (</w:t>
      </w:r>
      <w:proofErr w:type="gramEnd"/>
      <w:r w:rsidR="00B96B28" w:rsidRPr="004C6F87">
        <w:rPr>
          <w:i/>
          <w:color w:val="0070C0"/>
          <w:sz w:val="22"/>
          <w:szCs w:val="22"/>
        </w:rPr>
        <w:t xml:space="preserve">Authorizing Official </w:t>
      </w:r>
      <w:r w:rsidRPr="004C6F87">
        <w:rPr>
          <w:i/>
          <w:color w:val="0070C0"/>
          <w:sz w:val="22"/>
          <w:szCs w:val="22"/>
        </w:rPr>
        <w:t>requesting the exemption or equivalency</w:t>
      </w:r>
      <w:r w:rsidRPr="004C6F87">
        <w:rPr>
          <w:color w:val="0070C0"/>
          <w:sz w:val="22"/>
          <w:szCs w:val="22"/>
        </w:rPr>
        <w:t>)</w:t>
      </w:r>
    </w:p>
    <w:p w14:paraId="7F15A042" w14:textId="77777777" w:rsidR="00EC2D96" w:rsidRPr="004C6F87" w:rsidRDefault="00EC2D96" w:rsidP="00D35256">
      <w:pPr>
        <w:ind w:left="2640" w:right="-120" w:hanging="2640"/>
        <w:rPr>
          <w:sz w:val="22"/>
          <w:szCs w:val="22"/>
        </w:rPr>
      </w:pPr>
    </w:p>
    <w:p w14:paraId="7BB20C31" w14:textId="098247C7" w:rsidR="00C01256" w:rsidRPr="004C6F87" w:rsidRDefault="006B1778" w:rsidP="00D35256">
      <w:pPr>
        <w:tabs>
          <w:tab w:val="left" w:pos="2610"/>
        </w:tabs>
        <w:ind w:left="2640" w:hanging="2640"/>
        <w:rPr>
          <w:sz w:val="22"/>
          <w:szCs w:val="22"/>
        </w:rPr>
      </w:pPr>
      <w:r w:rsidRPr="004C6F87">
        <w:rPr>
          <w:sz w:val="22"/>
          <w:szCs w:val="22"/>
        </w:rPr>
        <w:t>SUBJECT:</w:t>
      </w:r>
      <w:r w:rsidR="00C01256" w:rsidRPr="004C6F87">
        <w:rPr>
          <w:sz w:val="22"/>
          <w:szCs w:val="22"/>
        </w:rPr>
        <w:tab/>
      </w:r>
      <w:r w:rsidR="008914E0" w:rsidRPr="004C6F87">
        <w:rPr>
          <w:sz w:val="22"/>
          <w:szCs w:val="22"/>
        </w:rPr>
        <w:t>A</w:t>
      </w:r>
      <w:r w:rsidR="000D4851">
        <w:rPr>
          <w:sz w:val="22"/>
          <w:szCs w:val="22"/>
        </w:rPr>
        <w:t>CTION</w:t>
      </w:r>
      <w:r w:rsidR="008914E0" w:rsidRPr="004C6F87">
        <w:rPr>
          <w:sz w:val="22"/>
          <w:szCs w:val="22"/>
        </w:rPr>
        <w:t xml:space="preserve">: </w:t>
      </w:r>
      <w:r w:rsidR="003F28BF">
        <w:rPr>
          <w:sz w:val="22"/>
          <w:szCs w:val="22"/>
        </w:rPr>
        <w:t xml:space="preserve">Approve request </w:t>
      </w:r>
      <w:r w:rsidR="00072291" w:rsidRPr="004C6F87">
        <w:rPr>
          <w:sz w:val="22"/>
          <w:szCs w:val="22"/>
        </w:rPr>
        <w:t xml:space="preserve">for </w:t>
      </w:r>
      <w:r w:rsidR="00CA6AF9" w:rsidRPr="004C6F87">
        <w:rPr>
          <w:color w:val="0070C0"/>
          <w:sz w:val="22"/>
          <w:szCs w:val="22"/>
        </w:rPr>
        <w:t>(</w:t>
      </w:r>
      <w:r w:rsidR="00072291" w:rsidRPr="004C6F87">
        <w:rPr>
          <w:i/>
          <w:color w:val="0070C0"/>
          <w:sz w:val="22"/>
          <w:szCs w:val="22"/>
        </w:rPr>
        <w:t>exemption or equivalency</w:t>
      </w:r>
      <w:r w:rsidR="00072291" w:rsidRPr="004C6F87">
        <w:rPr>
          <w:color w:val="0070C0"/>
          <w:sz w:val="22"/>
          <w:szCs w:val="22"/>
        </w:rPr>
        <w:t>)</w:t>
      </w:r>
      <w:r w:rsidR="001D4A99" w:rsidRPr="004C6F87">
        <w:rPr>
          <w:color w:val="0070C0"/>
          <w:sz w:val="22"/>
          <w:szCs w:val="22"/>
        </w:rPr>
        <w:t xml:space="preserve"> </w:t>
      </w:r>
      <w:r w:rsidR="001D4A99" w:rsidRPr="004C6F87">
        <w:rPr>
          <w:sz w:val="22"/>
          <w:szCs w:val="22"/>
        </w:rPr>
        <w:t xml:space="preserve">to </w:t>
      </w:r>
      <w:r w:rsidR="001D4A99" w:rsidRPr="004C6F87">
        <w:rPr>
          <w:color w:val="0070C0"/>
          <w:sz w:val="22"/>
          <w:szCs w:val="22"/>
        </w:rPr>
        <w:t>(</w:t>
      </w:r>
      <w:r w:rsidR="001D4A99" w:rsidRPr="004C6F87">
        <w:rPr>
          <w:i/>
          <w:color w:val="0070C0"/>
          <w:sz w:val="22"/>
          <w:szCs w:val="22"/>
        </w:rPr>
        <w:t>directive number and title</w:t>
      </w:r>
      <w:r w:rsidR="001D4A99" w:rsidRPr="004C6F87">
        <w:rPr>
          <w:color w:val="0070C0"/>
          <w:sz w:val="22"/>
          <w:szCs w:val="22"/>
        </w:rPr>
        <w:t>)</w:t>
      </w:r>
    </w:p>
    <w:p w14:paraId="788ABCB1" w14:textId="77777777" w:rsidR="00CF5C5C" w:rsidRPr="004C6F87" w:rsidRDefault="00CF5C5C" w:rsidP="00D35256">
      <w:pPr>
        <w:tabs>
          <w:tab w:val="left" w:pos="2640"/>
        </w:tabs>
        <w:ind w:left="2640" w:hanging="2640"/>
        <w:rPr>
          <w:sz w:val="22"/>
          <w:szCs w:val="22"/>
        </w:rPr>
      </w:pPr>
    </w:p>
    <w:p w14:paraId="7D75CD1B" w14:textId="77777777" w:rsidR="00CF5C5C" w:rsidRPr="004C6F87" w:rsidRDefault="00CF5C5C" w:rsidP="00D35256">
      <w:pPr>
        <w:tabs>
          <w:tab w:val="left" w:pos="2640"/>
        </w:tabs>
        <w:ind w:left="2640" w:hanging="2640"/>
        <w:rPr>
          <w:sz w:val="22"/>
          <w:szCs w:val="22"/>
        </w:rPr>
      </w:pPr>
    </w:p>
    <w:p w14:paraId="2B4A79EC" w14:textId="66084AD9" w:rsidR="00C01256" w:rsidRPr="004C6F87" w:rsidRDefault="009906FF" w:rsidP="00D35256">
      <w:pPr>
        <w:rPr>
          <w:sz w:val="22"/>
          <w:szCs w:val="22"/>
        </w:rPr>
      </w:pPr>
      <w:r w:rsidRPr="004C6F87">
        <w:rPr>
          <w:b/>
          <w:sz w:val="22"/>
          <w:szCs w:val="22"/>
        </w:rPr>
        <w:t>ISSUE</w:t>
      </w:r>
      <w:r w:rsidR="006B1778" w:rsidRPr="004C6F87">
        <w:rPr>
          <w:sz w:val="22"/>
          <w:szCs w:val="22"/>
        </w:rPr>
        <w:t>:</w:t>
      </w:r>
      <w:r w:rsidR="00052BA1" w:rsidRPr="004C6F87">
        <w:rPr>
          <w:sz w:val="22"/>
          <w:szCs w:val="22"/>
        </w:rPr>
        <w:t xml:space="preserve"> </w:t>
      </w:r>
      <w:r w:rsidR="0062233C" w:rsidRPr="004C6F87">
        <w:rPr>
          <w:sz w:val="22"/>
          <w:szCs w:val="22"/>
        </w:rPr>
        <w:t xml:space="preserve"> </w:t>
      </w:r>
      <w:r w:rsidR="003F28BF">
        <w:rPr>
          <w:sz w:val="22"/>
          <w:szCs w:val="22"/>
        </w:rPr>
        <w:t xml:space="preserve">Whether </w:t>
      </w:r>
      <w:r w:rsidR="00C90DC2">
        <w:rPr>
          <w:sz w:val="22"/>
          <w:szCs w:val="22"/>
        </w:rPr>
        <w:t xml:space="preserve">to grant </w:t>
      </w:r>
      <w:r w:rsidR="003F28BF">
        <w:rPr>
          <w:sz w:val="22"/>
          <w:szCs w:val="22"/>
        </w:rPr>
        <w:t xml:space="preserve">an </w:t>
      </w:r>
      <w:r w:rsidR="00072291" w:rsidRPr="004C6F87">
        <w:rPr>
          <w:color w:val="0070C0"/>
          <w:sz w:val="22"/>
          <w:szCs w:val="22"/>
        </w:rPr>
        <w:t>(</w:t>
      </w:r>
      <w:r w:rsidR="00072291" w:rsidRPr="004C6F87">
        <w:rPr>
          <w:i/>
          <w:color w:val="0070C0"/>
          <w:sz w:val="22"/>
          <w:szCs w:val="22"/>
        </w:rPr>
        <w:t>exemption or equivalency</w:t>
      </w:r>
      <w:r w:rsidR="00072291" w:rsidRPr="004C6F87">
        <w:rPr>
          <w:color w:val="0070C0"/>
          <w:sz w:val="22"/>
          <w:szCs w:val="22"/>
        </w:rPr>
        <w:t xml:space="preserve">) </w:t>
      </w:r>
      <w:r w:rsidR="00072291" w:rsidRPr="004C6F87">
        <w:rPr>
          <w:sz w:val="22"/>
          <w:szCs w:val="22"/>
        </w:rPr>
        <w:t>to</w:t>
      </w:r>
      <w:r w:rsidR="0062233C" w:rsidRPr="004C6F87">
        <w:rPr>
          <w:sz w:val="22"/>
          <w:szCs w:val="22"/>
        </w:rPr>
        <w:t xml:space="preserve"> </w:t>
      </w:r>
      <w:r w:rsidR="0062233C" w:rsidRPr="004C6F87">
        <w:rPr>
          <w:color w:val="0070C0"/>
          <w:sz w:val="22"/>
          <w:szCs w:val="22"/>
        </w:rPr>
        <w:t>(</w:t>
      </w:r>
      <w:r w:rsidR="0062233C" w:rsidRPr="004C6F87">
        <w:rPr>
          <w:i/>
          <w:color w:val="0070C0"/>
          <w:sz w:val="22"/>
          <w:szCs w:val="22"/>
        </w:rPr>
        <w:t>enter directive number</w:t>
      </w:r>
      <w:r w:rsidR="0062233C" w:rsidRPr="004C6F87">
        <w:rPr>
          <w:color w:val="0070C0"/>
          <w:sz w:val="22"/>
          <w:szCs w:val="22"/>
        </w:rPr>
        <w:t>).</w:t>
      </w:r>
    </w:p>
    <w:p w14:paraId="633428FA" w14:textId="77777777" w:rsidR="00CF5C5C" w:rsidRPr="004C6F87" w:rsidRDefault="00CF5C5C" w:rsidP="00D35256">
      <w:pPr>
        <w:rPr>
          <w:sz w:val="22"/>
          <w:szCs w:val="22"/>
        </w:rPr>
      </w:pPr>
    </w:p>
    <w:p w14:paraId="6314DB48" w14:textId="0428B975" w:rsidR="00304090" w:rsidRPr="004C6F87" w:rsidRDefault="009906FF" w:rsidP="00D35256">
      <w:pPr>
        <w:shd w:val="clear" w:color="auto" w:fill="FFFFFF"/>
        <w:rPr>
          <w:i/>
          <w:sz w:val="22"/>
          <w:szCs w:val="22"/>
        </w:rPr>
      </w:pPr>
      <w:r w:rsidRPr="004C6F87">
        <w:rPr>
          <w:b/>
          <w:sz w:val="22"/>
          <w:szCs w:val="22"/>
        </w:rPr>
        <w:t>BACKGROUND</w:t>
      </w:r>
      <w:r w:rsidR="000C7148" w:rsidRPr="004C6F87">
        <w:rPr>
          <w:sz w:val="22"/>
          <w:szCs w:val="22"/>
        </w:rPr>
        <w:t>:</w:t>
      </w:r>
      <w:r w:rsidRPr="004C6F87">
        <w:rPr>
          <w:sz w:val="22"/>
          <w:szCs w:val="22"/>
        </w:rPr>
        <w:t xml:space="preserve"> </w:t>
      </w:r>
      <w:r w:rsidR="001C30DB" w:rsidRPr="004C6F87">
        <w:rPr>
          <w:color w:val="0070C0"/>
          <w:sz w:val="22"/>
          <w:szCs w:val="22"/>
        </w:rPr>
        <w:t>(</w:t>
      </w:r>
      <w:r w:rsidR="008F102D" w:rsidRPr="004C6F87">
        <w:rPr>
          <w:i/>
          <w:color w:val="0070C0"/>
          <w:sz w:val="22"/>
          <w:szCs w:val="22"/>
        </w:rPr>
        <w:t xml:space="preserve">completed by </w:t>
      </w:r>
      <w:r w:rsidR="00072291" w:rsidRPr="004C6F87">
        <w:rPr>
          <w:i/>
          <w:color w:val="0070C0"/>
          <w:sz w:val="22"/>
          <w:szCs w:val="22"/>
        </w:rPr>
        <w:t>the NNSA organization proposing the exemption or equivalency)</w:t>
      </w:r>
      <w:r w:rsidR="008F102D" w:rsidRPr="004C6F87">
        <w:rPr>
          <w:i/>
          <w:color w:val="0070C0"/>
          <w:sz w:val="22"/>
          <w:szCs w:val="22"/>
        </w:rPr>
        <w:t xml:space="preserve"> </w:t>
      </w:r>
    </w:p>
    <w:p w14:paraId="322D388B" w14:textId="77777777" w:rsidR="00F241BC" w:rsidRPr="004C6F87" w:rsidRDefault="00F241BC" w:rsidP="00D35256">
      <w:pPr>
        <w:shd w:val="clear" w:color="auto" w:fill="FFFFFF"/>
        <w:rPr>
          <w:i/>
          <w:sz w:val="22"/>
          <w:szCs w:val="22"/>
        </w:rPr>
      </w:pPr>
    </w:p>
    <w:p w14:paraId="0BDEE8BE" w14:textId="77777777" w:rsidR="00072291" w:rsidRPr="004C6F87" w:rsidRDefault="00304090" w:rsidP="004C6F87">
      <w:pPr>
        <w:pStyle w:val="ListParagraph"/>
        <w:numPr>
          <w:ilvl w:val="0"/>
          <w:numId w:val="9"/>
        </w:numPr>
        <w:rPr>
          <w:i/>
          <w:color w:val="0070C0"/>
        </w:rPr>
      </w:pPr>
      <w:r w:rsidRPr="004C6F87">
        <w:rPr>
          <w:rFonts w:ascii="Times New Roman" w:hAnsi="Times New Roman"/>
          <w:i/>
          <w:color w:val="0070C0"/>
        </w:rPr>
        <w:t xml:space="preserve">Insert </w:t>
      </w:r>
      <w:r w:rsidR="00924966">
        <w:rPr>
          <w:rFonts w:ascii="Times New Roman" w:hAnsi="Times New Roman"/>
          <w:i/>
          <w:color w:val="0070C0"/>
        </w:rPr>
        <w:t xml:space="preserve">a </w:t>
      </w:r>
      <w:r w:rsidR="00614355" w:rsidRPr="004C6F87">
        <w:rPr>
          <w:rFonts w:ascii="Times New Roman" w:hAnsi="Times New Roman"/>
          <w:i/>
          <w:color w:val="0070C0"/>
        </w:rPr>
        <w:t xml:space="preserve">section </w:t>
      </w:r>
      <w:r w:rsidR="00072291" w:rsidRPr="004C6F87">
        <w:rPr>
          <w:rFonts w:ascii="Times New Roman" w:hAnsi="Times New Roman"/>
          <w:i/>
          <w:color w:val="0070C0"/>
        </w:rPr>
        <w:t>that includes:</w:t>
      </w:r>
    </w:p>
    <w:p w14:paraId="1122A197" w14:textId="77777777" w:rsidR="00072291" w:rsidRPr="004C6F87" w:rsidRDefault="00072291" w:rsidP="005635B8">
      <w:pPr>
        <w:pStyle w:val="ListParagraph"/>
        <w:numPr>
          <w:ilvl w:val="1"/>
          <w:numId w:val="9"/>
        </w:numPr>
        <w:tabs>
          <w:tab w:val="left" w:pos="1080"/>
        </w:tabs>
        <w:ind w:left="1620" w:hanging="810"/>
        <w:rPr>
          <w:rFonts w:ascii="Times New Roman" w:hAnsi="Times New Roman"/>
          <w:i/>
          <w:color w:val="0070C0"/>
        </w:rPr>
      </w:pPr>
      <w:r w:rsidRPr="004C6F87">
        <w:rPr>
          <w:rFonts w:ascii="Times New Roman" w:hAnsi="Times New Roman"/>
          <w:i/>
          <w:color w:val="0070C0"/>
        </w:rPr>
        <w:t>Requirement for which the equivalency or exemption is being sought</w:t>
      </w:r>
    </w:p>
    <w:p w14:paraId="789DCB2F" w14:textId="77777777" w:rsidR="00072291" w:rsidRPr="004C6F87" w:rsidRDefault="00072291" w:rsidP="005635B8">
      <w:pPr>
        <w:pStyle w:val="ListParagraph"/>
        <w:numPr>
          <w:ilvl w:val="1"/>
          <w:numId w:val="9"/>
        </w:numPr>
        <w:tabs>
          <w:tab w:val="left" w:pos="1080"/>
        </w:tabs>
        <w:ind w:left="1620" w:hanging="810"/>
        <w:rPr>
          <w:rFonts w:ascii="Times New Roman" w:hAnsi="Times New Roman"/>
          <w:i/>
          <w:color w:val="0070C0"/>
        </w:rPr>
      </w:pPr>
      <w:r w:rsidRPr="005635B8">
        <w:rPr>
          <w:rFonts w:ascii="Times New Roman" w:hAnsi="Times New Roman"/>
          <w:i/>
          <w:color w:val="0070C0"/>
        </w:rPr>
        <w:t>Explanation of the equivalency or exemption being proposed</w:t>
      </w:r>
    </w:p>
    <w:p w14:paraId="5888D1A8" w14:textId="672C5174" w:rsidR="00072291" w:rsidRPr="004C6F87" w:rsidRDefault="00072291" w:rsidP="005635B8">
      <w:pPr>
        <w:pStyle w:val="ListParagraph"/>
        <w:numPr>
          <w:ilvl w:val="1"/>
          <w:numId w:val="9"/>
        </w:numPr>
        <w:tabs>
          <w:tab w:val="left" w:pos="1080"/>
        </w:tabs>
        <w:ind w:left="1620" w:hanging="810"/>
        <w:rPr>
          <w:rFonts w:ascii="Times New Roman" w:hAnsi="Times New Roman"/>
          <w:i/>
          <w:color w:val="0070C0"/>
        </w:rPr>
      </w:pPr>
      <w:r w:rsidRPr="004C6F87">
        <w:rPr>
          <w:rFonts w:ascii="Times New Roman" w:hAnsi="Times New Roman"/>
          <w:i/>
          <w:color w:val="0070C0"/>
        </w:rPr>
        <w:t>Office(s) or site(s) for which the equivalency or exemption is being sought</w:t>
      </w:r>
    </w:p>
    <w:p w14:paraId="13DFFAC4" w14:textId="77777777" w:rsidR="00072291" w:rsidRPr="004C6F87" w:rsidRDefault="00072291" w:rsidP="005635B8">
      <w:pPr>
        <w:pStyle w:val="ListParagraph"/>
        <w:numPr>
          <w:ilvl w:val="1"/>
          <w:numId w:val="9"/>
        </w:numPr>
        <w:tabs>
          <w:tab w:val="left" w:pos="1080"/>
        </w:tabs>
        <w:ind w:left="1620" w:hanging="810"/>
        <w:rPr>
          <w:rFonts w:ascii="Times New Roman" w:hAnsi="Times New Roman"/>
          <w:i/>
          <w:color w:val="0070C0"/>
        </w:rPr>
      </w:pPr>
      <w:r w:rsidRPr="005635B8">
        <w:rPr>
          <w:rFonts w:ascii="Times New Roman" w:hAnsi="Times New Roman"/>
          <w:i/>
          <w:color w:val="0070C0"/>
        </w:rPr>
        <w:t>Justification of the reason(s) for the equivalency or exemption</w:t>
      </w:r>
    </w:p>
    <w:p w14:paraId="12A3F7CA" w14:textId="77777777" w:rsidR="00072291" w:rsidRPr="004C6F87" w:rsidRDefault="00072291" w:rsidP="005635B8">
      <w:pPr>
        <w:pStyle w:val="ListParagraph"/>
        <w:numPr>
          <w:ilvl w:val="1"/>
          <w:numId w:val="9"/>
        </w:numPr>
        <w:tabs>
          <w:tab w:val="left" w:pos="1080"/>
        </w:tabs>
        <w:ind w:left="1620" w:hanging="810"/>
        <w:rPr>
          <w:rFonts w:ascii="Times New Roman" w:hAnsi="Times New Roman"/>
          <w:i/>
          <w:color w:val="0070C0"/>
        </w:rPr>
      </w:pPr>
      <w:r w:rsidRPr="004C6F87">
        <w:rPr>
          <w:rFonts w:ascii="Times New Roman" w:hAnsi="Times New Roman"/>
          <w:i/>
          <w:color w:val="0070C0"/>
        </w:rPr>
        <w:t>Explanation of why the equivalency or exemption is adequate and in the best interests of the government</w:t>
      </w:r>
    </w:p>
    <w:p w14:paraId="3765B7E8" w14:textId="77777777" w:rsidR="00EE3BB3" w:rsidRPr="005635B8" w:rsidRDefault="00EE3BB3" w:rsidP="005635B8">
      <w:pPr>
        <w:pStyle w:val="ListParagraph"/>
        <w:numPr>
          <w:ilvl w:val="1"/>
          <w:numId w:val="9"/>
        </w:numPr>
        <w:tabs>
          <w:tab w:val="left" w:pos="1080"/>
        </w:tabs>
        <w:ind w:left="1620" w:hanging="810"/>
        <w:rPr>
          <w:rFonts w:ascii="Times New Roman" w:hAnsi="Times New Roman"/>
          <w:i/>
          <w:color w:val="0070C0"/>
        </w:rPr>
      </w:pPr>
      <w:r w:rsidRPr="005635B8">
        <w:rPr>
          <w:rFonts w:ascii="Times New Roman" w:hAnsi="Times New Roman"/>
          <w:i/>
          <w:color w:val="0070C0"/>
        </w:rPr>
        <w:t>Any increase in risk to health, safety, environment, or security</w:t>
      </w:r>
    </w:p>
    <w:p w14:paraId="544D099C" w14:textId="77777777" w:rsidR="005C0B23" w:rsidRPr="005635B8" w:rsidRDefault="005C0B23" w:rsidP="00C90DC2">
      <w:pPr>
        <w:pStyle w:val="ListParagraph"/>
        <w:numPr>
          <w:ilvl w:val="1"/>
          <w:numId w:val="9"/>
        </w:numPr>
        <w:tabs>
          <w:tab w:val="left" w:pos="1080"/>
        </w:tabs>
        <w:ind w:left="1620" w:hanging="810"/>
        <w:rPr>
          <w:rFonts w:ascii="Times New Roman" w:hAnsi="Times New Roman"/>
          <w:i/>
          <w:color w:val="0070C0"/>
        </w:rPr>
      </w:pPr>
      <w:r w:rsidRPr="005635B8">
        <w:rPr>
          <w:rFonts w:ascii="Times New Roman" w:hAnsi="Times New Roman"/>
          <w:i/>
          <w:color w:val="0070C0"/>
        </w:rPr>
        <w:t>In the case of an exemption, describe any mitigating actions that have been, or will be, taken to provide adequate protection of the public, workers, and the environment for the period during which the exemption will be effective.</w:t>
      </w:r>
    </w:p>
    <w:p w14:paraId="2A7686B5" w14:textId="77777777" w:rsidR="005C0B23" w:rsidRPr="005635B8" w:rsidRDefault="005C0B23" w:rsidP="005635B8">
      <w:pPr>
        <w:pStyle w:val="ListParagraph"/>
        <w:numPr>
          <w:ilvl w:val="1"/>
          <w:numId w:val="9"/>
        </w:numPr>
        <w:tabs>
          <w:tab w:val="left" w:pos="1080"/>
        </w:tabs>
        <w:ind w:left="1620" w:hanging="810"/>
        <w:rPr>
          <w:rFonts w:ascii="Times New Roman" w:hAnsi="Times New Roman"/>
          <w:i/>
          <w:color w:val="0070C0"/>
        </w:rPr>
      </w:pPr>
      <w:r w:rsidRPr="005635B8">
        <w:rPr>
          <w:rFonts w:ascii="Times New Roman" w:hAnsi="Times New Roman"/>
          <w:i/>
          <w:color w:val="0070C0"/>
        </w:rPr>
        <w:t>In the case of an equivalency, indicate when compliance will be achieved.</w:t>
      </w:r>
    </w:p>
    <w:p w14:paraId="201A89D9" w14:textId="77777777" w:rsidR="00A45689" w:rsidRPr="005635B8" w:rsidRDefault="005C0B23" w:rsidP="005635B8">
      <w:pPr>
        <w:pStyle w:val="ListParagraph"/>
        <w:numPr>
          <w:ilvl w:val="1"/>
          <w:numId w:val="9"/>
        </w:numPr>
        <w:tabs>
          <w:tab w:val="left" w:pos="1080"/>
        </w:tabs>
        <w:ind w:left="1620" w:hanging="810"/>
        <w:rPr>
          <w:rFonts w:ascii="Times New Roman" w:hAnsi="Times New Roman"/>
          <w:i/>
          <w:color w:val="0070C0"/>
        </w:rPr>
      </w:pPr>
      <w:r w:rsidRPr="005635B8">
        <w:rPr>
          <w:rFonts w:ascii="Times New Roman" w:hAnsi="Times New Roman"/>
          <w:i/>
          <w:color w:val="0070C0"/>
        </w:rPr>
        <w:t>Confirmation that applicable laws or regulations are not violated.</w:t>
      </w:r>
    </w:p>
    <w:p w14:paraId="37B324A0" w14:textId="77777777" w:rsidR="00CA6AF9" w:rsidRPr="005635B8" w:rsidRDefault="00CA6AF9" w:rsidP="005635B8">
      <w:pPr>
        <w:pStyle w:val="ListParagraph"/>
        <w:rPr>
          <w:i/>
          <w:color w:val="0070C0"/>
        </w:rPr>
      </w:pPr>
    </w:p>
    <w:p w14:paraId="6E90E111" w14:textId="5CCC1287" w:rsidR="00CA6AF9" w:rsidRPr="005635B8" w:rsidRDefault="00CA6AF9" w:rsidP="005635B8">
      <w:pPr>
        <w:pStyle w:val="ListParagraph"/>
        <w:numPr>
          <w:ilvl w:val="0"/>
          <w:numId w:val="9"/>
        </w:numPr>
        <w:rPr>
          <w:i/>
          <w:color w:val="0070C0"/>
        </w:rPr>
      </w:pPr>
      <w:r w:rsidRPr="005635B8">
        <w:rPr>
          <w:rFonts w:ascii="Times New Roman" w:hAnsi="Times New Roman"/>
          <w:i/>
          <w:color w:val="0070C0"/>
        </w:rPr>
        <w:t xml:space="preserve">Insert paragraph </w:t>
      </w:r>
      <w:r w:rsidR="00274041" w:rsidRPr="005635B8">
        <w:rPr>
          <w:rFonts w:ascii="Times New Roman" w:hAnsi="Times New Roman"/>
          <w:i/>
          <w:color w:val="0070C0"/>
        </w:rPr>
        <w:t>summarizing any recommendation or concurrence received</w:t>
      </w:r>
      <w:r w:rsidR="003F28BF">
        <w:rPr>
          <w:rFonts w:ascii="Times New Roman" w:hAnsi="Times New Roman"/>
          <w:i/>
          <w:color w:val="0070C0"/>
        </w:rPr>
        <w:t>:</w:t>
      </w:r>
    </w:p>
    <w:p w14:paraId="47174C4D" w14:textId="77777777" w:rsidR="005C0B23" w:rsidRPr="004C6F87" w:rsidRDefault="005C0B23" w:rsidP="00D35256">
      <w:pPr>
        <w:rPr>
          <w:i/>
          <w:color w:val="0070C0"/>
          <w:sz w:val="22"/>
          <w:szCs w:val="22"/>
        </w:rPr>
      </w:pPr>
    </w:p>
    <w:p w14:paraId="63D6FB04" w14:textId="1BEFB4FD" w:rsidR="00274041" w:rsidRPr="004C6F87" w:rsidRDefault="00274041" w:rsidP="004C6F87">
      <w:pPr>
        <w:pStyle w:val="ListParagraph"/>
        <w:numPr>
          <w:ilvl w:val="1"/>
          <w:numId w:val="9"/>
        </w:numPr>
        <w:ind w:left="1080"/>
        <w:rPr>
          <w:i/>
          <w:color w:val="0070C0"/>
        </w:rPr>
      </w:pPr>
      <w:r w:rsidRPr="005635B8">
        <w:rPr>
          <w:rFonts w:ascii="Times New Roman" w:hAnsi="Times New Roman"/>
          <w:i/>
          <w:color w:val="0070C0"/>
        </w:rPr>
        <w:t>Contractor organizations requesting an exemption or equivalency for</w:t>
      </w:r>
      <w:r w:rsidR="001D4A99" w:rsidRPr="005635B8">
        <w:rPr>
          <w:rFonts w:ascii="Times New Roman" w:hAnsi="Times New Roman"/>
          <w:i/>
          <w:color w:val="0070C0"/>
        </w:rPr>
        <w:t xml:space="preserve"> a</w:t>
      </w:r>
      <w:r w:rsidRPr="005635B8">
        <w:rPr>
          <w:rFonts w:ascii="Times New Roman" w:hAnsi="Times New Roman"/>
          <w:i/>
          <w:color w:val="0070C0"/>
        </w:rPr>
        <w:t xml:space="preserve"> </w:t>
      </w:r>
      <w:r w:rsidRPr="005635B8">
        <w:rPr>
          <w:rFonts w:ascii="Times New Roman" w:hAnsi="Times New Roman"/>
          <w:b/>
          <w:i/>
          <w:color w:val="0070C0"/>
        </w:rPr>
        <w:t>DOE or NNSA C</w:t>
      </w:r>
      <w:r w:rsidR="00240DCD" w:rsidRPr="005635B8">
        <w:rPr>
          <w:rFonts w:ascii="Times New Roman" w:hAnsi="Times New Roman"/>
          <w:b/>
          <w:i/>
          <w:color w:val="0070C0"/>
        </w:rPr>
        <w:t xml:space="preserve">ontractor </w:t>
      </w:r>
      <w:r w:rsidRPr="005635B8">
        <w:rPr>
          <w:rFonts w:ascii="Times New Roman" w:hAnsi="Times New Roman"/>
          <w:b/>
          <w:i/>
          <w:color w:val="0070C0"/>
        </w:rPr>
        <w:t>R</w:t>
      </w:r>
      <w:r w:rsidR="00240DCD" w:rsidRPr="005635B8">
        <w:rPr>
          <w:rFonts w:ascii="Times New Roman" w:hAnsi="Times New Roman"/>
          <w:b/>
          <w:i/>
          <w:color w:val="0070C0"/>
        </w:rPr>
        <w:t xml:space="preserve">equirements </w:t>
      </w:r>
      <w:r w:rsidRPr="005635B8">
        <w:rPr>
          <w:rFonts w:ascii="Times New Roman" w:hAnsi="Times New Roman"/>
          <w:b/>
          <w:i/>
          <w:color w:val="0070C0"/>
        </w:rPr>
        <w:t>D</w:t>
      </w:r>
      <w:r w:rsidR="00240DCD" w:rsidRPr="005635B8">
        <w:rPr>
          <w:rFonts w:ascii="Times New Roman" w:hAnsi="Times New Roman"/>
          <w:b/>
          <w:i/>
          <w:color w:val="0070C0"/>
        </w:rPr>
        <w:t>ocument (CRD)</w:t>
      </w:r>
      <w:r w:rsidRPr="005635B8">
        <w:rPr>
          <w:rFonts w:ascii="Times New Roman" w:hAnsi="Times New Roman"/>
          <w:i/>
          <w:color w:val="0070C0"/>
        </w:rPr>
        <w:t xml:space="preserve"> </w:t>
      </w:r>
      <w:r w:rsidR="00614355" w:rsidRPr="005635B8">
        <w:rPr>
          <w:rFonts w:ascii="Times New Roman" w:hAnsi="Times New Roman"/>
          <w:i/>
          <w:color w:val="0070C0"/>
          <w:u w:val="single"/>
        </w:rPr>
        <w:t>must</w:t>
      </w:r>
      <w:r w:rsidR="00614355" w:rsidRPr="005635B8">
        <w:rPr>
          <w:rFonts w:ascii="Times New Roman" w:hAnsi="Times New Roman"/>
          <w:i/>
          <w:color w:val="0070C0"/>
        </w:rPr>
        <w:t xml:space="preserve"> </w:t>
      </w:r>
      <w:r w:rsidRPr="005635B8">
        <w:rPr>
          <w:rFonts w:ascii="Times New Roman" w:hAnsi="Times New Roman"/>
          <w:i/>
          <w:color w:val="0070C0"/>
        </w:rPr>
        <w:t xml:space="preserve">obtain the responsible Field Office </w:t>
      </w:r>
      <w:r w:rsidR="004C1AE9" w:rsidRPr="005635B8">
        <w:rPr>
          <w:rFonts w:ascii="Times New Roman" w:hAnsi="Times New Roman"/>
          <w:i/>
          <w:color w:val="0070C0"/>
        </w:rPr>
        <w:t>M</w:t>
      </w:r>
      <w:r w:rsidRPr="005635B8">
        <w:rPr>
          <w:rFonts w:ascii="Times New Roman" w:hAnsi="Times New Roman"/>
          <w:i/>
          <w:color w:val="0070C0"/>
        </w:rPr>
        <w:t xml:space="preserve">anager’s recommendation </w:t>
      </w:r>
      <w:r w:rsidR="008914E0" w:rsidRPr="005635B8">
        <w:rPr>
          <w:rFonts w:ascii="Times New Roman" w:hAnsi="Times New Roman"/>
          <w:i/>
          <w:color w:val="0070C0"/>
        </w:rPr>
        <w:t xml:space="preserve">that </w:t>
      </w:r>
      <w:r w:rsidRPr="005635B8">
        <w:rPr>
          <w:rFonts w:ascii="Times New Roman" w:hAnsi="Times New Roman"/>
          <w:i/>
          <w:color w:val="0070C0"/>
        </w:rPr>
        <w:t>the equivalency or exemption be granted.</w:t>
      </w:r>
    </w:p>
    <w:p w14:paraId="4968A883" w14:textId="77777777" w:rsidR="005C0B23" w:rsidRPr="005635B8" w:rsidRDefault="005C0B23" w:rsidP="004C6F87">
      <w:pPr>
        <w:ind w:left="1080"/>
        <w:rPr>
          <w:i/>
          <w:color w:val="0070C0"/>
          <w:sz w:val="22"/>
          <w:szCs w:val="22"/>
        </w:rPr>
      </w:pPr>
    </w:p>
    <w:p w14:paraId="4F157E2F" w14:textId="55FF0F9F" w:rsidR="00274041" w:rsidRPr="004C6F87" w:rsidRDefault="00274041" w:rsidP="004C6F87">
      <w:pPr>
        <w:pStyle w:val="ListParagraph"/>
        <w:numPr>
          <w:ilvl w:val="1"/>
          <w:numId w:val="9"/>
        </w:numPr>
        <w:ind w:left="1080"/>
        <w:rPr>
          <w:i/>
          <w:color w:val="0070C0"/>
        </w:rPr>
      </w:pPr>
      <w:r w:rsidRPr="005635B8">
        <w:rPr>
          <w:rFonts w:ascii="Times New Roman" w:hAnsi="Times New Roman"/>
          <w:i/>
          <w:color w:val="0070C0"/>
        </w:rPr>
        <w:t xml:space="preserve">NNSA organizations </w:t>
      </w:r>
      <w:r w:rsidR="00E923EA" w:rsidRPr="005635B8">
        <w:rPr>
          <w:rFonts w:ascii="Times New Roman" w:hAnsi="Times New Roman"/>
          <w:i/>
          <w:color w:val="0070C0"/>
        </w:rPr>
        <w:t xml:space="preserve">requesting </w:t>
      </w:r>
      <w:r w:rsidRPr="005635B8">
        <w:rPr>
          <w:rFonts w:ascii="Times New Roman" w:hAnsi="Times New Roman"/>
          <w:i/>
          <w:color w:val="0070C0"/>
        </w:rPr>
        <w:t xml:space="preserve">an exemption or equivalency for an </w:t>
      </w:r>
      <w:r w:rsidRPr="005635B8">
        <w:rPr>
          <w:rFonts w:ascii="Times New Roman" w:hAnsi="Times New Roman"/>
          <w:b/>
          <w:i/>
          <w:color w:val="0070C0"/>
        </w:rPr>
        <w:t>N</w:t>
      </w:r>
      <w:r w:rsidR="00E923EA" w:rsidRPr="005635B8">
        <w:rPr>
          <w:rFonts w:ascii="Times New Roman" w:hAnsi="Times New Roman"/>
          <w:b/>
          <w:i/>
          <w:color w:val="0070C0"/>
        </w:rPr>
        <w:t>N</w:t>
      </w:r>
      <w:r w:rsidRPr="005635B8">
        <w:rPr>
          <w:rFonts w:ascii="Times New Roman" w:hAnsi="Times New Roman"/>
          <w:b/>
          <w:i/>
          <w:color w:val="0070C0"/>
        </w:rPr>
        <w:t>SA directive</w:t>
      </w:r>
      <w:r w:rsidRPr="005635B8">
        <w:rPr>
          <w:rFonts w:ascii="Times New Roman" w:hAnsi="Times New Roman"/>
          <w:i/>
          <w:color w:val="0070C0"/>
        </w:rPr>
        <w:t xml:space="preserve"> </w:t>
      </w:r>
      <w:r w:rsidR="007C6111" w:rsidRPr="005635B8">
        <w:rPr>
          <w:rFonts w:ascii="Times New Roman" w:hAnsi="Times New Roman"/>
          <w:i/>
          <w:color w:val="0070C0"/>
        </w:rPr>
        <w:t xml:space="preserve">must </w:t>
      </w:r>
      <w:r w:rsidRPr="005635B8">
        <w:rPr>
          <w:rFonts w:ascii="Times New Roman" w:hAnsi="Times New Roman"/>
          <w:i/>
          <w:color w:val="0070C0"/>
        </w:rPr>
        <w:t>obtain the concurrence of the NNSA O</w:t>
      </w:r>
      <w:r w:rsidR="00240DCD" w:rsidRPr="005635B8">
        <w:rPr>
          <w:rFonts w:ascii="Times New Roman" w:hAnsi="Times New Roman"/>
          <w:i/>
          <w:color w:val="0070C0"/>
        </w:rPr>
        <w:t xml:space="preserve">ffice of </w:t>
      </w:r>
      <w:r w:rsidRPr="005635B8">
        <w:rPr>
          <w:rFonts w:ascii="Times New Roman" w:hAnsi="Times New Roman"/>
          <w:i/>
          <w:color w:val="0070C0"/>
        </w:rPr>
        <w:t>P</w:t>
      </w:r>
      <w:r w:rsidR="00240DCD" w:rsidRPr="005635B8">
        <w:rPr>
          <w:rFonts w:ascii="Times New Roman" w:hAnsi="Times New Roman"/>
          <w:i/>
          <w:color w:val="0070C0"/>
        </w:rPr>
        <w:t>rimary Interest’s (OPI)</w:t>
      </w:r>
      <w:r w:rsidRPr="005635B8">
        <w:rPr>
          <w:rFonts w:ascii="Times New Roman" w:hAnsi="Times New Roman"/>
          <w:i/>
          <w:color w:val="0070C0"/>
        </w:rPr>
        <w:t xml:space="preserve"> A</w:t>
      </w:r>
      <w:r w:rsidR="00240DCD" w:rsidRPr="005635B8">
        <w:rPr>
          <w:rFonts w:ascii="Times New Roman" w:hAnsi="Times New Roman"/>
          <w:i/>
          <w:color w:val="0070C0"/>
        </w:rPr>
        <w:t>uthorizing Official (AO)</w:t>
      </w:r>
      <w:r w:rsidRPr="005635B8">
        <w:rPr>
          <w:rFonts w:ascii="Times New Roman" w:hAnsi="Times New Roman"/>
          <w:i/>
          <w:color w:val="0070C0"/>
        </w:rPr>
        <w:t xml:space="preserve"> and</w:t>
      </w:r>
      <w:r w:rsidR="001D4A99" w:rsidRPr="005635B8">
        <w:rPr>
          <w:rFonts w:ascii="Times New Roman" w:hAnsi="Times New Roman"/>
          <w:i/>
          <w:color w:val="0070C0"/>
        </w:rPr>
        <w:t>,</w:t>
      </w:r>
      <w:r w:rsidRPr="005635B8">
        <w:rPr>
          <w:rFonts w:ascii="Times New Roman" w:hAnsi="Times New Roman"/>
          <w:i/>
          <w:color w:val="0070C0"/>
        </w:rPr>
        <w:t xml:space="preserve"> when required, the NNSA C</w:t>
      </w:r>
      <w:r w:rsidR="00240DCD" w:rsidRPr="005635B8">
        <w:rPr>
          <w:rFonts w:ascii="Times New Roman" w:hAnsi="Times New Roman"/>
          <w:i/>
          <w:color w:val="0070C0"/>
        </w:rPr>
        <w:t xml:space="preserve">entral </w:t>
      </w:r>
      <w:r w:rsidRPr="005635B8">
        <w:rPr>
          <w:rFonts w:ascii="Times New Roman" w:hAnsi="Times New Roman"/>
          <w:i/>
          <w:color w:val="0070C0"/>
        </w:rPr>
        <w:t>T</w:t>
      </w:r>
      <w:r w:rsidR="00240DCD" w:rsidRPr="005635B8">
        <w:rPr>
          <w:rFonts w:ascii="Times New Roman" w:hAnsi="Times New Roman"/>
          <w:i/>
          <w:color w:val="0070C0"/>
        </w:rPr>
        <w:t xml:space="preserve">echnical </w:t>
      </w:r>
      <w:r w:rsidRPr="005635B8">
        <w:rPr>
          <w:rFonts w:ascii="Times New Roman" w:hAnsi="Times New Roman"/>
          <w:i/>
          <w:color w:val="0070C0"/>
        </w:rPr>
        <w:t>A</w:t>
      </w:r>
      <w:r w:rsidR="00240DCD" w:rsidRPr="005635B8">
        <w:rPr>
          <w:rFonts w:ascii="Times New Roman" w:hAnsi="Times New Roman"/>
          <w:i/>
          <w:color w:val="0070C0"/>
        </w:rPr>
        <w:t>uthority (CTA)</w:t>
      </w:r>
      <w:r w:rsidRPr="005635B8">
        <w:rPr>
          <w:rFonts w:ascii="Times New Roman" w:hAnsi="Times New Roman"/>
          <w:i/>
          <w:color w:val="0070C0"/>
        </w:rPr>
        <w:t>.</w:t>
      </w:r>
    </w:p>
    <w:p w14:paraId="0696ADB0" w14:textId="77777777" w:rsidR="005C0B23" w:rsidRPr="005635B8" w:rsidRDefault="005C0B23" w:rsidP="004C6F87">
      <w:pPr>
        <w:ind w:left="1080"/>
        <w:rPr>
          <w:i/>
          <w:color w:val="0070C0"/>
          <w:sz w:val="22"/>
          <w:szCs w:val="22"/>
        </w:rPr>
      </w:pPr>
    </w:p>
    <w:p w14:paraId="5D91FFE5" w14:textId="35072C11" w:rsidR="00E923EA" w:rsidRPr="005635B8" w:rsidRDefault="00E923EA" w:rsidP="004C6F87">
      <w:pPr>
        <w:pStyle w:val="ListParagraph"/>
        <w:numPr>
          <w:ilvl w:val="1"/>
          <w:numId w:val="9"/>
        </w:numPr>
        <w:ind w:left="1080"/>
        <w:rPr>
          <w:i/>
          <w:color w:val="0070C0"/>
        </w:rPr>
      </w:pPr>
      <w:r w:rsidRPr="005635B8">
        <w:rPr>
          <w:rFonts w:ascii="Times New Roman" w:hAnsi="Times New Roman"/>
          <w:i/>
          <w:color w:val="0070C0"/>
        </w:rPr>
        <w:t xml:space="preserve">NNSA organizations requesting an exemption or equivalency for a </w:t>
      </w:r>
      <w:r w:rsidRPr="005635B8">
        <w:rPr>
          <w:rFonts w:ascii="Times New Roman" w:hAnsi="Times New Roman"/>
          <w:b/>
          <w:i/>
          <w:color w:val="0070C0"/>
        </w:rPr>
        <w:t>DOE directive</w:t>
      </w:r>
      <w:r w:rsidRPr="005635B8">
        <w:rPr>
          <w:rFonts w:ascii="Times New Roman" w:hAnsi="Times New Roman"/>
          <w:i/>
          <w:color w:val="0070C0"/>
        </w:rPr>
        <w:t xml:space="preserve"> </w:t>
      </w:r>
      <w:r w:rsidR="00614355" w:rsidRPr="005635B8">
        <w:rPr>
          <w:rFonts w:ascii="Times New Roman" w:hAnsi="Times New Roman"/>
          <w:i/>
          <w:color w:val="0070C0"/>
        </w:rPr>
        <w:t xml:space="preserve">must </w:t>
      </w:r>
      <w:r w:rsidRPr="005635B8">
        <w:rPr>
          <w:rFonts w:ascii="Times New Roman" w:hAnsi="Times New Roman"/>
          <w:i/>
          <w:color w:val="0070C0"/>
        </w:rPr>
        <w:t>consult with the DOE OPI</w:t>
      </w:r>
      <w:r w:rsidR="00614355" w:rsidRPr="005635B8">
        <w:rPr>
          <w:rFonts w:ascii="Times New Roman" w:hAnsi="Times New Roman"/>
          <w:i/>
          <w:color w:val="0070C0"/>
        </w:rPr>
        <w:t>.</w:t>
      </w:r>
      <w:r w:rsidRPr="005635B8">
        <w:rPr>
          <w:rFonts w:ascii="Times New Roman" w:hAnsi="Times New Roman"/>
          <w:i/>
          <w:color w:val="0070C0"/>
        </w:rPr>
        <w:t xml:space="preserve"> </w:t>
      </w:r>
      <w:r w:rsidR="004C1AE9" w:rsidRPr="005635B8">
        <w:rPr>
          <w:rFonts w:ascii="Times New Roman" w:hAnsi="Times New Roman"/>
          <w:i/>
          <w:color w:val="0070C0"/>
        </w:rPr>
        <w:t xml:space="preserve"> </w:t>
      </w:r>
      <w:r w:rsidR="00614355" w:rsidRPr="005635B8">
        <w:rPr>
          <w:rFonts w:ascii="Times New Roman" w:hAnsi="Times New Roman"/>
          <w:i/>
          <w:color w:val="0070C0"/>
        </w:rPr>
        <w:t>Additionally, they must</w:t>
      </w:r>
      <w:r w:rsidRPr="005635B8">
        <w:rPr>
          <w:rFonts w:ascii="Times New Roman" w:hAnsi="Times New Roman"/>
          <w:i/>
          <w:color w:val="0070C0"/>
        </w:rPr>
        <w:t xml:space="preserve"> obtain concurrence of the NNSA Functional AO and</w:t>
      </w:r>
      <w:r w:rsidR="001D4A99" w:rsidRPr="005635B8">
        <w:rPr>
          <w:rFonts w:ascii="Times New Roman" w:hAnsi="Times New Roman"/>
          <w:i/>
          <w:color w:val="0070C0"/>
        </w:rPr>
        <w:t>,</w:t>
      </w:r>
      <w:r w:rsidRPr="005635B8">
        <w:rPr>
          <w:rFonts w:ascii="Times New Roman" w:hAnsi="Times New Roman"/>
          <w:i/>
          <w:color w:val="0070C0"/>
        </w:rPr>
        <w:t xml:space="preserve"> when required, the NNSA CTA.  It is not necessary to obtain concurrence from the DOE OPI. </w:t>
      </w:r>
    </w:p>
    <w:p w14:paraId="4512CE8E" w14:textId="77777777" w:rsidR="00DD4444" w:rsidRPr="005635B8" w:rsidRDefault="00DD4444" w:rsidP="00D35256">
      <w:pPr>
        <w:rPr>
          <w:b/>
          <w:sz w:val="22"/>
          <w:szCs w:val="22"/>
        </w:rPr>
      </w:pPr>
    </w:p>
    <w:p w14:paraId="7D8AF9AB" w14:textId="77777777" w:rsidR="003F09F2" w:rsidRPr="005635B8" w:rsidRDefault="003F09F2" w:rsidP="00D35256">
      <w:pPr>
        <w:rPr>
          <w:sz w:val="22"/>
          <w:szCs w:val="22"/>
        </w:rPr>
      </w:pPr>
      <w:r w:rsidRPr="005635B8">
        <w:rPr>
          <w:b/>
          <w:sz w:val="22"/>
          <w:szCs w:val="22"/>
        </w:rPr>
        <w:t>RECOMMENDATION</w:t>
      </w:r>
      <w:r w:rsidRPr="005635B8">
        <w:rPr>
          <w:sz w:val="22"/>
          <w:szCs w:val="22"/>
        </w:rPr>
        <w:t xml:space="preserve">:  Approve the </w:t>
      </w:r>
      <w:r w:rsidR="00511B68" w:rsidRPr="005635B8">
        <w:rPr>
          <w:color w:val="0070C0"/>
          <w:sz w:val="22"/>
          <w:szCs w:val="22"/>
        </w:rPr>
        <w:t>(</w:t>
      </w:r>
      <w:r w:rsidR="00EE3BB3" w:rsidRPr="005635B8">
        <w:rPr>
          <w:i/>
          <w:color w:val="0070C0"/>
          <w:sz w:val="22"/>
          <w:szCs w:val="22"/>
        </w:rPr>
        <w:t>exemption or equivalency</w:t>
      </w:r>
      <w:r w:rsidR="00511B68" w:rsidRPr="005635B8">
        <w:rPr>
          <w:color w:val="0070C0"/>
          <w:sz w:val="22"/>
          <w:szCs w:val="22"/>
        </w:rPr>
        <w:t>)</w:t>
      </w:r>
      <w:r w:rsidR="00EE3BB3" w:rsidRPr="005635B8">
        <w:rPr>
          <w:color w:val="0070C0"/>
          <w:sz w:val="22"/>
          <w:szCs w:val="22"/>
        </w:rPr>
        <w:t xml:space="preserve"> </w:t>
      </w:r>
      <w:r w:rsidR="00EE3BB3" w:rsidRPr="005635B8">
        <w:rPr>
          <w:sz w:val="22"/>
          <w:szCs w:val="22"/>
        </w:rPr>
        <w:t xml:space="preserve">to </w:t>
      </w:r>
      <w:r w:rsidR="00EA158C" w:rsidRPr="005635B8">
        <w:rPr>
          <w:i/>
          <w:color w:val="0070C0"/>
          <w:sz w:val="22"/>
          <w:szCs w:val="22"/>
        </w:rPr>
        <w:t>(enter directive number and title</w:t>
      </w:r>
      <w:r w:rsidR="00EA158C" w:rsidRPr="005635B8">
        <w:rPr>
          <w:i/>
          <w:sz w:val="22"/>
          <w:szCs w:val="22"/>
        </w:rPr>
        <w:t>)</w:t>
      </w:r>
      <w:r w:rsidRPr="005635B8">
        <w:rPr>
          <w:sz w:val="22"/>
          <w:szCs w:val="22"/>
        </w:rPr>
        <w:t>.</w:t>
      </w:r>
    </w:p>
    <w:p w14:paraId="57991E63" w14:textId="77777777" w:rsidR="003F09F2" w:rsidRDefault="003F09F2" w:rsidP="00D35256">
      <w:pPr>
        <w:rPr>
          <w:sz w:val="22"/>
          <w:szCs w:val="22"/>
        </w:rPr>
      </w:pPr>
    </w:p>
    <w:p w14:paraId="282FB32D" w14:textId="77777777" w:rsidR="0046020B" w:rsidRPr="005635B8" w:rsidRDefault="0046020B" w:rsidP="00D35256"/>
    <w:p w14:paraId="48F99ED0" w14:textId="77777777" w:rsidR="004D65EA" w:rsidRPr="005635B8" w:rsidRDefault="00084868" w:rsidP="00D35256">
      <w:pPr>
        <w:rPr>
          <w:u w:val="single"/>
        </w:rPr>
      </w:pPr>
      <w:r w:rsidRPr="005635B8">
        <w:t>Approve:</w:t>
      </w:r>
      <w:r w:rsidR="008074FD" w:rsidRPr="005635B8">
        <w:t xml:space="preserve"> </w:t>
      </w:r>
      <w:r w:rsidRPr="005635B8">
        <w:t>_______     Disapprove:</w:t>
      </w:r>
      <w:r w:rsidR="00D54CB7" w:rsidRPr="005635B8">
        <w:t xml:space="preserve"> </w:t>
      </w:r>
      <w:r w:rsidRPr="005635B8">
        <w:t xml:space="preserve">_______     </w:t>
      </w:r>
      <w:r w:rsidR="001D4A99" w:rsidRPr="005635B8">
        <w:t xml:space="preserve">Discuss: _________    </w:t>
      </w:r>
      <w:r w:rsidRPr="005635B8">
        <w:t>Date:</w:t>
      </w:r>
      <w:r w:rsidR="00D54CB7" w:rsidRPr="005635B8">
        <w:t xml:space="preserve"> </w:t>
      </w:r>
      <w:r w:rsidRPr="005635B8">
        <w:t>________________</w:t>
      </w:r>
    </w:p>
    <w:sectPr w:rsidR="004D65EA" w:rsidRPr="005635B8" w:rsidSect="005635B8">
      <w:pgSz w:w="12240" w:h="15840"/>
      <w:pgMar w:top="1440"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C3809" w14:textId="77777777" w:rsidR="009870A1" w:rsidRDefault="009870A1">
      <w:r>
        <w:separator/>
      </w:r>
    </w:p>
  </w:endnote>
  <w:endnote w:type="continuationSeparator" w:id="0">
    <w:p w14:paraId="56408C0B" w14:textId="77777777" w:rsidR="009870A1" w:rsidRDefault="0098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1CC9F" w14:textId="77777777" w:rsidR="009870A1" w:rsidRDefault="009870A1">
      <w:r>
        <w:separator/>
      </w:r>
    </w:p>
  </w:footnote>
  <w:footnote w:type="continuationSeparator" w:id="0">
    <w:p w14:paraId="444F958E" w14:textId="77777777" w:rsidR="009870A1" w:rsidRDefault="00987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57AD4"/>
    <w:multiLevelType w:val="hybridMultilevel"/>
    <w:tmpl w:val="56F689F4"/>
    <w:lvl w:ilvl="0" w:tplc="C6CE7C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93C6C"/>
    <w:multiLevelType w:val="hybridMultilevel"/>
    <w:tmpl w:val="CB342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F929F3"/>
    <w:multiLevelType w:val="hybridMultilevel"/>
    <w:tmpl w:val="55CA81EC"/>
    <w:lvl w:ilvl="0" w:tplc="5870339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A1F6C"/>
    <w:multiLevelType w:val="hybridMultilevel"/>
    <w:tmpl w:val="7CF8C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F207E"/>
    <w:multiLevelType w:val="hybridMultilevel"/>
    <w:tmpl w:val="88DE3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5333CF"/>
    <w:multiLevelType w:val="hybridMultilevel"/>
    <w:tmpl w:val="B380D5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91056F"/>
    <w:multiLevelType w:val="hybridMultilevel"/>
    <w:tmpl w:val="6394B9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2DB416C"/>
    <w:multiLevelType w:val="hybridMultilevel"/>
    <w:tmpl w:val="4ACCE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8C5707"/>
    <w:multiLevelType w:val="hybridMultilevel"/>
    <w:tmpl w:val="EEEED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327468"/>
    <w:multiLevelType w:val="hybridMultilevel"/>
    <w:tmpl w:val="1FF20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5"/>
  </w:num>
  <w:num w:numId="4">
    <w:abstractNumId w:val="3"/>
  </w:num>
  <w:num w:numId="5">
    <w:abstractNumId w:val="6"/>
  </w:num>
  <w:num w:numId="6">
    <w:abstractNumId w:val="4"/>
  </w:num>
  <w:num w:numId="7">
    <w:abstractNumId w:val="1"/>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2E6"/>
    <w:rsid w:val="00052BA1"/>
    <w:rsid w:val="000612AE"/>
    <w:rsid w:val="00072291"/>
    <w:rsid w:val="00084868"/>
    <w:rsid w:val="000A42E6"/>
    <w:rsid w:val="000A5929"/>
    <w:rsid w:val="000C7148"/>
    <w:rsid w:val="000D4851"/>
    <w:rsid w:val="000D547F"/>
    <w:rsid w:val="000E2487"/>
    <w:rsid w:val="00103D08"/>
    <w:rsid w:val="00115431"/>
    <w:rsid w:val="0011550F"/>
    <w:rsid w:val="00120FE3"/>
    <w:rsid w:val="00121B36"/>
    <w:rsid w:val="00144406"/>
    <w:rsid w:val="00150D76"/>
    <w:rsid w:val="001A19D1"/>
    <w:rsid w:val="001C30DB"/>
    <w:rsid w:val="001C775F"/>
    <w:rsid w:val="001D4A99"/>
    <w:rsid w:val="001E70DA"/>
    <w:rsid w:val="0020165C"/>
    <w:rsid w:val="00202B25"/>
    <w:rsid w:val="0020396A"/>
    <w:rsid w:val="00217BDB"/>
    <w:rsid w:val="00225037"/>
    <w:rsid w:val="00240DCD"/>
    <w:rsid w:val="00270187"/>
    <w:rsid w:val="00274041"/>
    <w:rsid w:val="002A0A74"/>
    <w:rsid w:val="002B377E"/>
    <w:rsid w:val="002C50CC"/>
    <w:rsid w:val="002C66F3"/>
    <w:rsid w:val="00304090"/>
    <w:rsid w:val="0031246B"/>
    <w:rsid w:val="003A5190"/>
    <w:rsid w:val="003F09F2"/>
    <w:rsid w:val="003F28BF"/>
    <w:rsid w:val="0046020B"/>
    <w:rsid w:val="00462C4F"/>
    <w:rsid w:val="00482238"/>
    <w:rsid w:val="004C1AE9"/>
    <w:rsid w:val="004C6F87"/>
    <w:rsid w:val="004D65EA"/>
    <w:rsid w:val="00502293"/>
    <w:rsid w:val="00511B68"/>
    <w:rsid w:val="00542BC9"/>
    <w:rsid w:val="005635B8"/>
    <w:rsid w:val="00563E54"/>
    <w:rsid w:val="005751D9"/>
    <w:rsid w:val="005A2459"/>
    <w:rsid w:val="005C0B23"/>
    <w:rsid w:val="00607728"/>
    <w:rsid w:val="00614355"/>
    <w:rsid w:val="0062233C"/>
    <w:rsid w:val="00634A24"/>
    <w:rsid w:val="0065008E"/>
    <w:rsid w:val="00666DEC"/>
    <w:rsid w:val="00692C8A"/>
    <w:rsid w:val="006B1778"/>
    <w:rsid w:val="00716E3A"/>
    <w:rsid w:val="00733725"/>
    <w:rsid w:val="00752FC3"/>
    <w:rsid w:val="00765AC4"/>
    <w:rsid w:val="007A2A70"/>
    <w:rsid w:val="007C6111"/>
    <w:rsid w:val="007C726B"/>
    <w:rsid w:val="007F4F92"/>
    <w:rsid w:val="00800F09"/>
    <w:rsid w:val="00801691"/>
    <w:rsid w:val="008074FD"/>
    <w:rsid w:val="00812D39"/>
    <w:rsid w:val="008516A2"/>
    <w:rsid w:val="00880D6B"/>
    <w:rsid w:val="00881ED2"/>
    <w:rsid w:val="00885523"/>
    <w:rsid w:val="008914E0"/>
    <w:rsid w:val="008B5485"/>
    <w:rsid w:val="008D060D"/>
    <w:rsid w:val="008F102D"/>
    <w:rsid w:val="008F4A55"/>
    <w:rsid w:val="00924966"/>
    <w:rsid w:val="00930B9F"/>
    <w:rsid w:val="009427C1"/>
    <w:rsid w:val="0098659E"/>
    <w:rsid w:val="009870A1"/>
    <w:rsid w:val="009906FF"/>
    <w:rsid w:val="009C40E9"/>
    <w:rsid w:val="009E3CB2"/>
    <w:rsid w:val="009E5C5E"/>
    <w:rsid w:val="00A02FB2"/>
    <w:rsid w:val="00A45689"/>
    <w:rsid w:val="00AE2EEA"/>
    <w:rsid w:val="00B00B6E"/>
    <w:rsid w:val="00B63AB4"/>
    <w:rsid w:val="00B96B28"/>
    <w:rsid w:val="00BE7A32"/>
    <w:rsid w:val="00BF33D6"/>
    <w:rsid w:val="00C01256"/>
    <w:rsid w:val="00C100C3"/>
    <w:rsid w:val="00C217DC"/>
    <w:rsid w:val="00C26B35"/>
    <w:rsid w:val="00C26F6E"/>
    <w:rsid w:val="00C41EFD"/>
    <w:rsid w:val="00C437A8"/>
    <w:rsid w:val="00C90DC2"/>
    <w:rsid w:val="00CA6AF9"/>
    <w:rsid w:val="00CF5C5C"/>
    <w:rsid w:val="00D34EA5"/>
    <w:rsid w:val="00D35256"/>
    <w:rsid w:val="00D540E9"/>
    <w:rsid w:val="00D54CB7"/>
    <w:rsid w:val="00D607C5"/>
    <w:rsid w:val="00D62FAD"/>
    <w:rsid w:val="00D7287F"/>
    <w:rsid w:val="00D763A5"/>
    <w:rsid w:val="00DA000D"/>
    <w:rsid w:val="00DB5469"/>
    <w:rsid w:val="00DD4444"/>
    <w:rsid w:val="00E0550B"/>
    <w:rsid w:val="00E45C6B"/>
    <w:rsid w:val="00E923EA"/>
    <w:rsid w:val="00EA158C"/>
    <w:rsid w:val="00EC2D96"/>
    <w:rsid w:val="00EE3BB3"/>
    <w:rsid w:val="00EE625B"/>
    <w:rsid w:val="00EE75F1"/>
    <w:rsid w:val="00F0442E"/>
    <w:rsid w:val="00F241BC"/>
    <w:rsid w:val="00F31348"/>
    <w:rsid w:val="00FD4633"/>
    <w:rsid w:val="00FE4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F9EAF"/>
  <w15:chartTrackingRefBased/>
  <w15:docId w15:val="{80F7A011-BE23-4134-BDFD-1AAC0347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3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75F1"/>
    <w:rPr>
      <w:rFonts w:ascii="Tahoma" w:hAnsi="Tahoma" w:cs="Tahoma"/>
      <w:sz w:val="16"/>
      <w:szCs w:val="16"/>
    </w:rPr>
  </w:style>
  <w:style w:type="paragraph" w:customStyle="1" w:styleId="Appendix">
    <w:name w:val="Appendix"/>
    <w:basedOn w:val="Normal"/>
    <w:rsid w:val="007F4F92"/>
    <w:pPr>
      <w:tabs>
        <w:tab w:val="left" w:pos="720"/>
        <w:tab w:val="left" w:pos="1440"/>
        <w:tab w:val="left" w:pos="2160"/>
        <w:tab w:val="left" w:pos="2880"/>
        <w:tab w:val="left" w:pos="3600"/>
        <w:tab w:val="left" w:pos="4320"/>
        <w:tab w:val="left" w:pos="5040"/>
      </w:tabs>
      <w:autoSpaceDE w:val="0"/>
      <w:autoSpaceDN w:val="0"/>
      <w:adjustRightInd w:val="0"/>
      <w:ind w:left="720" w:hanging="720"/>
      <w:jc w:val="center"/>
    </w:pPr>
    <w:rPr>
      <w:b/>
      <w:caps/>
    </w:rPr>
  </w:style>
  <w:style w:type="paragraph" w:styleId="Header">
    <w:name w:val="header"/>
    <w:basedOn w:val="Normal"/>
    <w:link w:val="HeaderChar"/>
    <w:rsid w:val="007F4F92"/>
    <w:pPr>
      <w:tabs>
        <w:tab w:val="center" w:pos="4680"/>
        <w:tab w:val="right" w:pos="9360"/>
      </w:tabs>
    </w:pPr>
  </w:style>
  <w:style w:type="character" w:customStyle="1" w:styleId="HeaderChar">
    <w:name w:val="Header Char"/>
    <w:link w:val="Header"/>
    <w:rsid w:val="007F4F92"/>
    <w:rPr>
      <w:sz w:val="24"/>
      <w:szCs w:val="24"/>
    </w:rPr>
  </w:style>
  <w:style w:type="paragraph" w:styleId="Footer">
    <w:name w:val="footer"/>
    <w:basedOn w:val="Normal"/>
    <w:link w:val="FooterChar"/>
    <w:rsid w:val="007F4F92"/>
    <w:pPr>
      <w:tabs>
        <w:tab w:val="center" w:pos="4680"/>
        <w:tab w:val="right" w:pos="9360"/>
      </w:tabs>
    </w:pPr>
  </w:style>
  <w:style w:type="character" w:customStyle="1" w:styleId="FooterChar">
    <w:name w:val="Footer Char"/>
    <w:link w:val="Footer"/>
    <w:rsid w:val="007F4F92"/>
    <w:rPr>
      <w:sz w:val="24"/>
      <w:szCs w:val="24"/>
    </w:rPr>
  </w:style>
  <w:style w:type="paragraph" w:styleId="ListParagraph">
    <w:name w:val="List Paragraph"/>
    <w:basedOn w:val="Normal"/>
    <w:uiPriority w:val="34"/>
    <w:qFormat/>
    <w:rsid w:val="008F102D"/>
    <w:pPr>
      <w:ind w:left="720"/>
    </w:pPr>
    <w:rPr>
      <w:rFonts w:ascii="Calibri" w:eastAsia="Calibri" w:hAnsi="Calibri"/>
      <w:sz w:val="22"/>
      <w:szCs w:val="22"/>
    </w:rPr>
  </w:style>
  <w:style w:type="paragraph" w:styleId="Revision">
    <w:name w:val="Revision"/>
    <w:hidden/>
    <w:uiPriority w:val="99"/>
    <w:semiHidden/>
    <w:rsid w:val="00511B68"/>
    <w:rPr>
      <w:sz w:val="24"/>
      <w:szCs w:val="24"/>
    </w:rPr>
  </w:style>
  <w:style w:type="character" w:styleId="Hyperlink">
    <w:name w:val="Hyperlink"/>
    <w:basedOn w:val="DefaultParagraphFont"/>
    <w:rsid w:val="0046020B"/>
    <w:rPr>
      <w:color w:val="0563C1" w:themeColor="hyperlink"/>
      <w:u w:val="single"/>
    </w:rPr>
  </w:style>
  <w:style w:type="character" w:styleId="FollowedHyperlink">
    <w:name w:val="FollowedHyperlink"/>
    <w:basedOn w:val="DefaultParagraphFont"/>
    <w:rsid w:val="0046020B"/>
    <w:rPr>
      <w:color w:val="954F72" w:themeColor="followedHyperlink"/>
      <w:u w:val="single"/>
    </w:rPr>
  </w:style>
  <w:style w:type="character" w:styleId="CommentReference">
    <w:name w:val="annotation reference"/>
    <w:basedOn w:val="DefaultParagraphFont"/>
    <w:rsid w:val="00765AC4"/>
    <w:rPr>
      <w:sz w:val="16"/>
      <w:szCs w:val="16"/>
    </w:rPr>
  </w:style>
  <w:style w:type="paragraph" w:styleId="CommentText">
    <w:name w:val="annotation text"/>
    <w:basedOn w:val="Normal"/>
    <w:link w:val="CommentTextChar"/>
    <w:rsid w:val="00765AC4"/>
    <w:rPr>
      <w:sz w:val="20"/>
      <w:szCs w:val="20"/>
    </w:rPr>
  </w:style>
  <w:style w:type="character" w:customStyle="1" w:styleId="CommentTextChar">
    <w:name w:val="Comment Text Char"/>
    <w:basedOn w:val="DefaultParagraphFont"/>
    <w:link w:val="CommentText"/>
    <w:rsid w:val="00765AC4"/>
  </w:style>
  <w:style w:type="paragraph" w:styleId="CommentSubject">
    <w:name w:val="annotation subject"/>
    <w:basedOn w:val="CommentText"/>
    <w:next w:val="CommentText"/>
    <w:link w:val="CommentSubjectChar"/>
    <w:rsid w:val="00765AC4"/>
    <w:rPr>
      <w:b/>
      <w:bCs/>
    </w:rPr>
  </w:style>
  <w:style w:type="character" w:customStyle="1" w:styleId="CommentSubjectChar">
    <w:name w:val="Comment Subject Char"/>
    <w:basedOn w:val="CommentTextChar"/>
    <w:link w:val="CommentSubject"/>
    <w:rsid w:val="00765AC4"/>
    <w:rPr>
      <w:b/>
      <w:bCs/>
    </w:rPr>
  </w:style>
  <w:style w:type="character" w:styleId="UnresolvedMention">
    <w:name w:val="Unresolved Mention"/>
    <w:basedOn w:val="DefaultParagraphFont"/>
    <w:uiPriority w:val="99"/>
    <w:semiHidden/>
    <w:unhideWhenUsed/>
    <w:rsid w:val="00DB5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03364">
      <w:bodyDiv w:val="1"/>
      <w:marLeft w:val="0"/>
      <w:marRight w:val="0"/>
      <w:marTop w:val="0"/>
      <w:marBottom w:val="0"/>
      <w:divBdr>
        <w:top w:val="none" w:sz="0" w:space="0" w:color="auto"/>
        <w:left w:val="none" w:sz="0" w:space="0" w:color="auto"/>
        <w:bottom w:val="none" w:sz="0" w:space="0" w:color="auto"/>
        <w:right w:val="none" w:sz="0" w:space="0" w:color="auto"/>
      </w:divBdr>
    </w:div>
    <w:div w:id="181653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2165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SAMPLE CANCELLATION MEMORANDUM FOR NNSA ELEMENTS</vt:lpstr>
    </vt:vector>
  </TitlesOfParts>
  <Company>U.S. Department of Energy</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CANCELLATION MEMORANDUM FOR NNSA ELEMENTS</dc:title>
  <dc:subject/>
  <dc:creator>Russell Ames</dc:creator>
  <cp:keywords/>
  <cp:lastModifiedBy>Diane Johnson</cp:lastModifiedBy>
  <cp:revision>2</cp:revision>
  <cp:lastPrinted>2019-04-22T17:46:00Z</cp:lastPrinted>
  <dcterms:created xsi:type="dcterms:W3CDTF">2021-08-26T18:56:00Z</dcterms:created>
  <dcterms:modified xsi:type="dcterms:W3CDTF">2021-08-26T18:56:00Z</dcterms:modified>
</cp:coreProperties>
</file>